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741E7" w14:textId="1F0F6F69" w:rsidR="00027B83" w:rsidRDefault="00295104" w:rsidP="00295104">
      <w:pPr>
        <w:spacing w:line="276" w:lineRule="auto"/>
        <w:jc w:val="right"/>
        <w:rPr>
          <w:b/>
          <w:caps/>
        </w:rPr>
      </w:pPr>
      <w:r>
        <w:rPr>
          <w:b/>
          <w:caps/>
        </w:rPr>
        <w:t xml:space="preserve">                 </w:t>
      </w:r>
      <w:r>
        <w:rPr>
          <w:szCs w:val="24"/>
        </w:rPr>
        <w:t>Pirkimo</w:t>
      </w:r>
      <w:r w:rsidRPr="00AC7176">
        <w:rPr>
          <w:szCs w:val="24"/>
        </w:rPr>
        <w:t xml:space="preserve"> sąlygų</w:t>
      </w:r>
      <w:r>
        <w:rPr>
          <w:szCs w:val="24"/>
        </w:rPr>
        <w:t xml:space="preserve"> </w:t>
      </w:r>
      <w:r>
        <w:rPr>
          <w:szCs w:val="24"/>
        </w:rPr>
        <w:t>6</w:t>
      </w:r>
      <w:r>
        <w:rPr>
          <w:szCs w:val="24"/>
        </w:rPr>
        <w:t xml:space="preserve"> </w:t>
      </w:r>
      <w:r w:rsidRPr="00AC7176">
        <w:rPr>
          <w:szCs w:val="24"/>
        </w:rPr>
        <w:t>priedas</w:t>
      </w: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lastRenderedPageBreak/>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 xml:space="preserve">Jeigu Sutartyje nenurodyta kitaip, žodžiai, vartojami vienaskaitos forma, taip pat reiškia ir daugiskaitą ir atvirkščiai, vienos giminės žodžiai apima ir kitos giminės atitinkamus žodžius, žodis asmuo </w:t>
      </w:r>
      <w:r>
        <w:rPr>
          <w:rFonts w:eastAsia="Arial"/>
          <w:shd w:val="clear" w:color="auto" w:fill="FFFFFF"/>
        </w:rPr>
        <w:lastRenderedPageBreak/>
        <w:t>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w:t>
      </w:r>
      <w:r>
        <w:rPr>
          <w:rFonts w:eastAsia="Arial"/>
        </w:rPr>
        <w:lastRenderedPageBreak/>
        <w:t>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 xml:space="preserve">3.2.4. Naujas subtiekėjas ar specialistas gali pradėti vykdyti jiems Tiekėjo pavestus įsipareigojimus pagal </w:t>
      </w:r>
      <w:r>
        <w:rPr>
          <w:rFonts w:eastAsia="Cambria"/>
          <w:shd w:val="clear" w:color="auto" w:fill="FFFFFF"/>
        </w:rPr>
        <w:lastRenderedPageBreak/>
        <w:t>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3.2.11.1. Tiekėjo iniciatyva dėl objektyvių priežasčių (pavyzdžiui, atostogų, ligos, nutrūkus darbo santykiams ir pan.), pateikus duomenis apie numatomą naujai skirti specialistą bei jo kvalifikaciją ir </w:t>
      </w:r>
      <w:r>
        <w:rPr>
          <w:rFonts w:eastAsia="Cambria"/>
          <w:shd w:val="clear" w:color="auto" w:fill="FFFFFF"/>
        </w:rPr>
        <w:lastRenderedPageBreak/>
        <w:t>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w:t>
      </w:r>
      <w:r>
        <w:rPr>
          <w:rFonts w:eastAsia="Arial"/>
        </w:rPr>
        <w:lastRenderedPageBreak/>
        <w:t>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 xml:space="preserve">Jeigu Pirkėjas per 5 (penkias) darbo dienas nuo Paslaugų perdavimo–priėmimo akto gavimo nepateikia (neišsiunčia) Tiekėjui Defektų akto, laikoma, kad Pirkėjas Paslaugas priėmė ir joms pretenzijų </w:t>
      </w:r>
      <w:r>
        <w:rPr>
          <w:rFonts w:eastAsia="Arial"/>
        </w:rPr>
        <w:lastRenderedPageBreak/>
        <w:t>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w:t>
      </w:r>
      <w:r>
        <w:rPr>
          <w:rFonts w:eastAsia="Arial"/>
        </w:rPr>
        <w:lastRenderedPageBreak/>
        <w:t>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lastRenderedPageBreak/>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 xml:space="preserve">Jeigu Tiekėjas atsisako pašalinti arba nepašalina Paslaugų trūkumų per Pirkėjo nustatytus protingus </w:t>
      </w:r>
      <w:r>
        <w:rPr>
          <w:rFonts w:eastAsia="Arial"/>
        </w:rPr>
        <w:lastRenderedPageBreak/>
        <w:t>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lastRenderedPageBreak/>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lastRenderedPageBreak/>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w:t>
      </w:r>
      <w:r>
        <w:rPr>
          <w:rFonts w:eastAsia="Arial"/>
        </w:rPr>
        <w:lastRenderedPageBreak/>
        <w:t xml:space="preserve">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lastRenderedPageBreak/>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lastRenderedPageBreak/>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lastRenderedPageBreak/>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E0564" w14:textId="77777777" w:rsidR="00175931" w:rsidRDefault="00175931">
      <w:pPr>
        <w:rPr>
          <w:sz w:val="20"/>
        </w:rPr>
      </w:pPr>
      <w:r>
        <w:rPr>
          <w:sz w:val="20"/>
        </w:rPr>
        <w:separator/>
      </w:r>
    </w:p>
  </w:endnote>
  <w:endnote w:type="continuationSeparator" w:id="0">
    <w:p w14:paraId="2AB4EC3A" w14:textId="77777777" w:rsidR="00175931" w:rsidRDefault="00175931">
      <w:pPr>
        <w:rPr>
          <w:sz w:val="20"/>
        </w:rPr>
      </w:pPr>
      <w:r>
        <w:rPr>
          <w:sz w:val="20"/>
        </w:rPr>
        <w:continuationSeparator/>
      </w:r>
    </w:p>
  </w:endnote>
  <w:endnote w:type="continuationNotice" w:id="1">
    <w:p w14:paraId="4E9ADA6D" w14:textId="77777777" w:rsidR="00175931" w:rsidRDefault="001759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4ED69" w14:textId="77777777" w:rsidR="00175931" w:rsidRDefault="00175931">
      <w:pPr>
        <w:rPr>
          <w:sz w:val="20"/>
        </w:rPr>
      </w:pPr>
      <w:r>
        <w:rPr>
          <w:sz w:val="20"/>
        </w:rPr>
        <w:separator/>
      </w:r>
    </w:p>
  </w:footnote>
  <w:footnote w:type="continuationSeparator" w:id="0">
    <w:p w14:paraId="5332C640" w14:textId="77777777" w:rsidR="00175931" w:rsidRDefault="00175931">
      <w:pPr>
        <w:rPr>
          <w:sz w:val="20"/>
        </w:rPr>
      </w:pPr>
      <w:r>
        <w:rPr>
          <w:sz w:val="20"/>
        </w:rPr>
        <w:continuationSeparator/>
      </w:r>
    </w:p>
  </w:footnote>
  <w:footnote w:type="continuationNotice" w:id="1">
    <w:p w14:paraId="530B245E" w14:textId="77777777" w:rsidR="00175931" w:rsidRDefault="001759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175931"/>
    <w:rsid w:val="00177742"/>
    <w:rsid w:val="00295104"/>
    <w:rsid w:val="003B104E"/>
    <w:rsid w:val="004253F1"/>
    <w:rsid w:val="00480651"/>
    <w:rsid w:val="004A2AF4"/>
    <w:rsid w:val="004F10FB"/>
    <w:rsid w:val="005521DA"/>
    <w:rsid w:val="007604B0"/>
    <w:rsid w:val="007D4CAA"/>
    <w:rsid w:val="0083118A"/>
    <w:rsid w:val="00925978"/>
    <w:rsid w:val="009728BC"/>
    <w:rsid w:val="00A72765"/>
    <w:rsid w:val="00AD13BC"/>
    <w:rsid w:val="00D13EBE"/>
    <w:rsid w:val="00D418E6"/>
    <w:rsid w:val="00DA4E0C"/>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56653</Words>
  <Characters>32293</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2025-04-23T05:46:00Z</dcterms:created>
  <dcterms:modified xsi:type="dcterms:W3CDTF">2025-07-17T10:49:00Z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